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ascii="Times New Roman" w:hAnsi="Times New Roman" w:eastAsia="宋体"/>
          <w:color w:val="000000"/>
          <w:szCs w:val="21"/>
        </w:rPr>
      </w:pPr>
      <w:bookmarkStart w:id="7" w:name="_GoBack"/>
      <w:bookmarkStart w:id="0" w:name="_Toc436883403"/>
      <w:bookmarkStart w:id="1" w:name="_Toc385518780"/>
      <w:bookmarkStart w:id="2" w:name="_Toc390356239"/>
      <w:bookmarkStart w:id="3" w:name="_Toc436554281"/>
      <w:bookmarkStart w:id="4" w:name="_Toc453514527"/>
      <w:bookmarkStart w:id="5" w:name="_Toc80885675"/>
      <w:r>
        <w:rPr>
          <w:rFonts w:ascii="Times New Roman" w:hAnsi="Times New Roman" w:eastAsia="宋体"/>
          <w:color w:val="000000"/>
          <w:highlight w:val="yellow"/>
        </w:rPr>
        <w:t>表2-8-2教育经费收支情况</w:t>
      </w:r>
      <w:bookmarkEnd w:id="0"/>
      <w:bookmarkEnd w:id="1"/>
      <w:bookmarkEnd w:id="2"/>
      <w:bookmarkEnd w:id="3"/>
      <w:r>
        <w:rPr>
          <w:rFonts w:ascii="Times New Roman" w:hAnsi="Times New Roman" w:eastAsia="宋体"/>
          <w:color w:val="000000"/>
          <w:highlight w:val="yellow"/>
        </w:rPr>
        <w:t>（自然年）</w:t>
      </w:r>
      <w:bookmarkEnd w:id="4"/>
      <w:bookmarkEnd w:id="5"/>
    </w:p>
    <w:bookmarkEnd w:id="7"/>
    <w:p>
      <w:pPr>
        <w:adjustRightInd w:val="0"/>
        <w:snapToGrid w:val="0"/>
        <w:rPr>
          <w:rFonts w:ascii="Times New Roman" w:hAnsi="Times New Roman" w:cs="Times New Roman"/>
          <w:b/>
          <w:color w:val="000000"/>
        </w:rPr>
      </w:pPr>
    </w:p>
    <w:tbl>
      <w:tblPr>
        <w:tblStyle w:val="3"/>
        <w:tblW w:w="13175"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2672"/>
        <w:gridCol w:w="2401"/>
        <w:gridCol w:w="1414"/>
        <w:gridCol w:w="6688"/>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6487" w:type="dxa"/>
            <w:gridSpan w:val="3"/>
            <w:shd w:val="clear" w:color="auto" w:fill="auto"/>
          </w:tcPr>
          <w:p>
            <w:pPr>
              <w:adjustRightInd w:val="0"/>
              <w:snapToGrid w:val="0"/>
              <w:jc w:val="center"/>
              <w:rPr>
                <w:rFonts w:ascii="Times New Roman" w:hAnsi="Times New Roman" w:cs="Times New Roman"/>
                <w:b/>
                <w:bCs/>
                <w:color w:val="000000"/>
              </w:rPr>
            </w:pPr>
            <w:bookmarkStart w:id="6" w:name="_Hlk75183381"/>
            <w:r>
              <w:rPr>
                <w:rFonts w:ascii="Times New Roman" w:hAnsi="Times New Roman" w:cs="Times New Roman"/>
                <w:b/>
                <w:bCs/>
                <w:color w:val="000000"/>
              </w:rPr>
              <w:t>项目</w:t>
            </w:r>
          </w:p>
        </w:tc>
        <w:tc>
          <w:tcPr>
            <w:tcW w:w="6688" w:type="dxa"/>
            <w:shd w:val="clear" w:color="auto" w:fill="auto"/>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金额</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restart"/>
            <w:shd w:val="clear" w:color="auto" w:fill="auto"/>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w:t>
            </w:r>
            <w:r>
              <w:rPr>
                <w:rFonts w:hint="eastAsia" w:ascii="Times New Roman" w:hAnsi="Times New Roman" w:cs="Times New Roman"/>
                <w:b/>
                <w:bCs/>
                <w:color w:val="000000"/>
              </w:rPr>
              <w:t>教学经费支出（万元）</w:t>
            </w:r>
          </w:p>
        </w:tc>
        <w:tc>
          <w:tcPr>
            <w:tcW w:w="3815" w:type="dxa"/>
            <w:gridSpan w:val="2"/>
            <w:shd w:val="clear" w:color="auto" w:fill="auto"/>
          </w:tcPr>
          <w:p>
            <w:pPr>
              <w:adjustRightInd w:val="0"/>
              <w:snapToGrid w:val="0"/>
              <w:rPr>
                <w:rFonts w:ascii="Times New Roman" w:hAnsi="Times New Roman" w:cs="Times New Roman"/>
                <w:color w:val="000000"/>
              </w:rPr>
            </w:pPr>
            <w:r>
              <w:rPr>
                <w:rFonts w:hint="eastAsia" w:ascii="Times New Roman" w:hAnsi="Times New Roman" w:cs="Times New Roman"/>
                <w:color w:val="000000"/>
              </w:rPr>
              <w:t>支出总计</w:t>
            </w:r>
          </w:p>
        </w:tc>
        <w:tc>
          <w:tcPr>
            <w:tcW w:w="6688" w:type="dxa"/>
            <w:shd w:val="clear" w:color="auto" w:fill="auto"/>
            <w:vAlign w:val="center"/>
          </w:tcPr>
          <w:p>
            <w:pPr>
              <w:adjustRightInd w:val="0"/>
              <w:snapToGrid w:val="0"/>
              <w:jc w:val="center"/>
              <w:rPr>
                <w:rFonts w:ascii="Times New Roman" w:hAnsi="Times New Roman" w:cs="Times New Roman"/>
                <w:color w:val="000000"/>
              </w:rPr>
            </w:pPr>
            <w:r>
              <w:rPr>
                <w:rFonts w:ascii="Times New Roman" w:hAnsi="Times New Roman" w:cs="Times New Roman"/>
                <w:color w:val="000000"/>
              </w:rPr>
              <w:t>自动生成</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hint="eastAsia" w:ascii="Times New Roman" w:hAnsi="Times New Roman" w:cs="Times New Roman"/>
                <w:color w:val="000000"/>
              </w:rPr>
              <w:t>教学日常运行支出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hint="eastAsia" w:ascii="Times New Roman" w:hAnsi="Times New Roman" w:cs="Times New Roman"/>
                <w:color w:val="000000"/>
              </w:rPr>
              <w:t>教学改革支出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hint="eastAsia" w:ascii="Times New Roman" w:hAnsi="Times New Roman" w:cs="Times New Roman"/>
                <w:color w:val="000000"/>
              </w:rPr>
              <w:t>专业建设支出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hint="eastAsia" w:ascii="Times New Roman" w:hAnsi="Times New Roman" w:cs="Times New Roman"/>
                <w:color w:val="000000"/>
              </w:rPr>
              <w:t>实践教学支出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ind w:firstLine="420" w:firstLineChars="200"/>
              <w:rPr>
                <w:rFonts w:ascii="Times New Roman" w:hAnsi="Times New Roman" w:cs="Times New Roman"/>
                <w:color w:val="000000"/>
              </w:rPr>
            </w:pPr>
            <w:r>
              <w:rPr>
                <w:rFonts w:hint="eastAsia" w:ascii="Times New Roman" w:hAnsi="Times New Roman" w:cs="Times New Roman"/>
                <w:color w:val="000000"/>
              </w:rPr>
              <w:t>其中：实验经费支出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ind w:firstLine="1050" w:firstLineChars="500"/>
              <w:rPr>
                <w:rFonts w:ascii="Times New Roman" w:hAnsi="Times New Roman" w:cs="Times New Roman"/>
                <w:color w:val="000000"/>
              </w:rPr>
            </w:pPr>
            <w:r>
              <w:rPr>
                <w:rFonts w:hint="eastAsia" w:ascii="Times New Roman" w:hAnsi="Times New Roman" w:cs="Times New Roman"/>
                <w:color w:val="000000"/>
              </w:rPr>
              <w:t>实习经费支出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FF0000"/>
              </w:rPr>
            </w:pPr>
            <w:r>
              <w:rPr>
                <w:rFonts w:hint="eastAsia" w:ascii="Times New Roman" w:hAnsi="Times New Roman" w:cs="Times New Roman"/>
                <w:color w:val="FF0000"/>
                <w:highlight w:val="yellow"/>
              </w:rPr>
              <w:t>思想政治理论课程专项建设经费支出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其他教学专项</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学生活动经费支出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教师培训进修专项经费支出</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restart"/>
            <w:shd w:val="clear" w:color="auto" w:fill="auto"/>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2.教育事业收入（万元）</w:t>
            </w:r>
          </w:p>
        </w:tc>
        <w:tc>
          <w:tcPr>
            <w:tcW w:w="3815" w:type="dxa"/>
            <w:gridSpan w:val="2"/>
            <w:shd w:val="clear" w:color="auto" w:fill="auto"/>
            <w:vAlign w:val="center"/>
          </w:tcPr>
          <w:p>
            <w:pPr>
              <w:adjustRightInd w:val="0"/>
              <w:snapToGrid w:val="0"/>
              <w:rPr>
                <w:rFonts w:ascii="Times New Roman" w:hAnsi="Times New Roman" w:cs="Times New Roman"/>
                <w:color w:val="000000"/>
              </w:rPr>
            </w:pPr>
            <w:r>
              <w:rPr>
                <w:rFonts w:hint="eastAsia" w:ascii="Times New Roman" w:hAnsi="Times New Roman" w:cs="Times New Roman"/>
                <w:color w:val="000000"/>
              </w:rPr>
              <w:t>经常性预算内事业费拨款</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vAlign w:val="center"/>
          </w:tcPr>
          <w:p>
            <w:pPr>
              <w:adjustRightInd w:val="0"/>
              <w:snapToGrid w:val="0"/>
              <w:rPr>
                <w:rFonts w:ascii="Times New Roman" w:hAnsi="Times New Roman" w:cs="Times New Roman"/>
                <w:color w:val="000000"/>
              </w:rPr>
            </w:pPr>
            <w:r>
              <w:rPr>
                <w:rFonts w:hint="eastAsia" w:ascii="Times New Roman" w:hAnsi="Times New Roman" w:cs="Times New Roman"/>
                <w:color w:val="000000"/>
              </w:rPr>
              <w:t>教改专项拨款（国家）</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
                <w:bCs/>
                <w:color w:val="000000"/>
              </w:rPr>
            </w:pPr>
          </w:p>
        </w:tc>
        <w:tc>
          <w:tcPr>
            <w:tcW w:w="3815" w:type="dxa"/>
            <w:gridSpan w:val="2"/>
            <w:shd w:val="clear" w:color="auto" w:fill="auto"/>
            <w:vAlign w:val="center"/>
          </w:tcPr>
          <w:p>
            <w:pPr>
              <w:adjustRightInd w:val="0"/>
              <w:snapToGrid w:val="0"/>
              <w:rPr>
                <w:rFonts w:ascii="Times New Roman" w:hAnsi="Times New Roman" w:cs="Times New Roman"/>
                <w:color w:val="000000"/>
              </w:rPr>
            </w:pPr>
            <w:r>
              <w:rPr>
                <w:rFonts w:hint="eastAsia" w:ascii="Times New Roman" w:hAnsi="Times New Roman" w:cs="Times New Roman"/>
                <w:color w:val="000000"/>
              </w:rPr>
              <w:t>教改专项拨款（地方）</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vAlign w:val="center"/>
          </w:tcPr>
          <w:p>
            <w:pPr>
              <w:adjustRightInd w:val="0"/>
              <w:snapToGrid w:val="0"/>
              <w:rPr>
                <w:rFonts w:ascii="Times New Roman" w:hAnsi="Times New Roman" w:cs="Times New Roman"/>
                <w:bCs/>
                <w:color w:val="000000"/>
              </w:rPr>
            </w:pPr>
          </w:p>
        </w:tc>
        <w:tc>
          <w:tcPr>
            <w:tcW w:w="2401" w:type="dxa"/>
            <w:vMerge w:val="restart"/>
            <w:shd w:val="clear" w:color="auto" w:fill="auto"/>
            <w:vAlign w:val="center"/>
          </w:tcPr>
          <w:p>
            <w:pPr>
              <w:adjustRightInd w:val="0"/>
              <w:snapToGrid w:val="0"/>
              <w:rPr>
                <w:rFonts w:ascii="Times New Roman" w:hAnsi="Times New Roman" w:cs="Times New Roman"/>
                <w:color w:val="000000"/>
              </w:rPr>
            </w:pPr>
            <w:r>
              <w:rPr>
                <w:rFonts w:ascii="Times New Roman" w:hAnsi="Times New Roman" w:cs="Times New Roman"/>
                <w:color w:val="000000"/>
              </w:rPr>
              <w:t>本科生生均拨款总额</w:t>
            </w:r>
          </w:p>
        </w:tc>
        <w:tc>
          <w:tcPr>
            <w:tcW w:w="1414" w:type="dxa"/>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国家</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tcPr>
          <w:p>
            <w:pPr>
              <w:adjustRightInd w:val="0"/>
              <w:snapToGrid w:val="0"/>
              <w:rPr>
                <w:rFonts w:ascii="Times New Roman" w:hAnsi="Times New Roman" w:cs="Times New Roman"/>
                <w:color w:val="000000"/>
              </w:rPr>
            </w:pPr>
          </w:p>
        </w:tc>
        <w:tc>
          <w:tcPr>
            <w:tcW w:w="2401" w:type="dxa"/>
            <w:vMerge w:val="continue"/>
            <w:shd w:val="clear" w:color="auto" w:fill="auto"/>
          </w:tcPr>
          <w:p>
            <w:pPr>
              <w:adjustRightInd w:val="0"/>
              <w:snapToGrid w:val="0"/>
              <w:rPr>
                <w:rFonts w:ascii="Times New Roman" w:hAnsi="Times New Roman" w:cs="Times New Roman"/>
                <w:color w:val="000000"/>
              </w:rPr>
            </w:pPr>
          </w:p>
        </w:tc>
        <w:tc>
          <w:tcPr>
            <w:tcW w:w="1414" w:type="dxa"/>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地方</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tcPr>
          <w:p>
            <w:pPr>
              <w:adjustRightInd w:val="0"/>
              <w:snapToGrid w:val="0"/>
              <w:rPr>
                <w:rFonts w:ascii="Times New Roman" w:hAnsi="Times New Roman" w:cs="Times New Roman"/>
                <w:color w:val="000000"/>
              </w:rPr>
            </w:pPr>
          </w:p>
        </w:tc>
        <w:tc>
          <w:tcPr>
            <w:tcW w:w="3815" w:type="dxa"/>
            <w:gridSpan w:val="2"/>
            <w:shd w:val="clear" w:color="auto" w:fill="auto"/>
            <w:vAlign w:val="center"/>
          </w:tcPr>
          <w:p>
            <w:pPr>
              <w:adjustRightInd w:val="0"/>
              <w:snapToGrid w:val="0"/>
              <w:rPr>
                <w:rFonts w:ascii="Times New Roman" w:hAnsi="Times New Roman" w:cs="Times New Roman"/>
                <w:color w:val="000000"/>
              </w:rPr>
            </w:pPr>
            <w:r>
              <w:rPr>
                <w:rFonts w:ascii="Times New Roman" w:hAnsi="Times New Roman" w:cs="Times New Roman"/>
                <w:color w:val="000000"/>
              </w:rPr>
              <w:t>专科生生均拨款总额</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tcPr>
          <w:p>
            <w:pPr>
              <w:adjustRightInd w:val="0"/>
              <w:snapToGrid w:val="0"/>
              <w:rPr>
                <w:rFonts w:ascii="Times New Roman" w:hAnsi="Times New Roman" w:cs="Times New Roman"/>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本科生学费收入</w:t>
            </w:r>
          </w:p>
        </w:tc>
        <w:tc>
          <w:tcPr>
            <w:tcW w:w="6688" w:type="dxa"/>
            <w:shd w:val="clear" w:color="auto" w:fill="auto"/>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exact"/>
        </w:trPr>
        <w:tc>
          <w:tcPr>
            <w:tcW w:w="2672" w:type="dxa"/>
            <w:vMerge w:val="continue"/>
            <w:shd w:val="clear" w:color="auto" w:fill="auto"/>
          </w:tcPr>
          <w:p>
            <w:pPr>
              <w:adjustRightInd w:val="0"/>
              <w:snapToGrid w:val="0"/>
              <w:rPr>
                <w:rFonts w:ascii="Times New Roman" w:hAnsi="Times New Roman" w:cs="Times New Roman"/>
                <w:color w:val="000000"/>
              </w:rPr>
            </w:pPr>
          </w:p>
        </w:tc>
        <w:tc>
          <w:tcPr>
            <w:tcW w:w="3815" w:type="dxa"/>
            <w:gridSpan w:val="2"/>
            <w:shd w:val="clear" w:color="auto" w:fill="auto"/>
          </w:tcPr>
          <w:p>
            <w:pPr>
              <w:adjustRightInd w:val="0"/>
              <w:snapToGrid w:val="0"/>
              <w:rPr>
                <w:rFonts w:ascii="Times New Roman" w:hAnsi="Times New Roman" w:cs="Times New Roman"/>
                <w:color w:val="000000"/>
              </w:rPr>
            </w:pPr>
            <w:r>
              <w:rPr>
                <w:rFonts w:ascii="Times New Roman" w:hAnsi="Times New Roman" w:cs="Times New Roman"/>
                <w:color w:val="000000"/>
              </w:rPr>
              <w:t>高职高专学费收入</w:t>
            </w:r>
          </w:p>
        </w:tc>
        <w:tc>
          <w:tcPr>
            <w:tcW w:w="6688" w:type="dxa"/>
            <w:shd w:val="clear" w:color="auto" w:fill="auto"/>
          </w:tcPr>
          <w:p>
            <w:pPr>
              <w:adjustRightInd w:val="0"/>
              <w:snapToGrid w:val="0"/>
              <w:rPr>
                <w:rFonts w:ascii="Times New Roman" w:hAnsi="Times New Roman" w:cs="Times New Roman"/>
                <w:color w:val="000000"/>
              </w:rPr>
            </w:pPr>
          </w:p>
        </w:tc>
      </w:tr>
      <w:bookmarkEnd w:id="6"/>
    </w:tbl>
    <w:p>
      <w:pPr>
        <w:adjustRightInd w:val="0"/>
        <w:snapToGrid w:val="0"/>
        <w:rPr>
          <w:rFonts w:ascii="Times New Roman" w:hAnsi="Times New Roman" w:cs="Times New Roman"/>
          <w:b/>
          <w:color w:val="000000"/>
        </w:rPr>
      </w:pPr>
    </w:p>
    <w:p>
      <w:pPr>
        <w:adjustRightInd w:val="0"/>
        <w:snapToGrid w:val="0"/>
        <w:rPr>
          <w:rFonts w:ascii="Times New Roman" w:hAnsi="Times New Roman" w:cs="Times New Roman"/>
          <w:b/>
          <w:color w:val="000000"/>
        </w:rPr>
      </w:pPr>
      <w:r>
        <w:rPr>
          <w:rFonts w:ascii="Times New Roman" w:hAnsi="Times New Roman" w:cs="Times New Roman"/>
          <w:b/>
          <w:color w:val="000000"/>
        </w:rPr>
        <w:t>指标解释：</w:t>
      </w:r>
    </w:p>
    <w:p>
      <w:pPr>
        <w:pStyle w:val="5"/>
        <w:ind w:left="360" w:firstLine="0" w:firstLineChars="0"/>
        <w:rPr>
          <w:rFonts w:ascii="宋体" w:hAnsi="宋体" w:eastAsia="宋体"/>
          <w:szCs w:val="21"/>
        </w:rPr>
      </w:pPr>
      <w:r>
        <w:rPr>
          <w:rFonts w:ascii="Times New Roman" w:hAnsi="Times New Roman" w:cs="Times New Roman"/>
          <w:b/>
          <w:color w:val="000000"/>
          <w:szCs w:val="21"/>
        </w:rPr>
        <w:t>注：</w:t>
      </w:r>
      <w:r>
        <w:rPr>
          <w:rFonts w:hint="eastAsia" w:ascii="宋体" w:hAnsi="宋体" w:eastAsia="宋体"/>
          <w:szCs w:val="21"/>
        </w:rPr>
        <w:t>以下单项经费均统计自然年度实际支出的经费金额，</w:t>
      </w:r>
      <w:r>
        <w:rPr>
          <w:rFonts w:ascii="宋体" w:hAnsi="宋体" w:eastAsia="宋体"/>
          <w:szCs w:val="21"/>
        </w:rPr>
        <w:t>非特别说明，均指学校开展普通本科教学活动及其辅助活动发生的支出</w:t>
      </w:r>
      <w:r>
        <w:rPr>
          <w:rFonts w:hint="eastAsia" w:ascii="宋体" w:hAnsi="宋体" w:eastAsia="宋体"/>
          <w:szCs w:val="21"/>
        </w:rPr>
        <w:t>。</w:t>
      </w:r>
    </w:p>
    <w:p>
      <w:pPr>
        <w:adjustRightInd w:val="0"/>
        <w:snapToGrid w:val="0"/>
        <w:spacing w:line="360" w:lineRule="auto"/>
        <w:rPr>
          <w:rFonts w:ascii="Times New Roman" w:hAnsi="Times New Roman" w:cs="Times New Roman"/>
          <w:color w:val="000000"/>
          <w:szCs w:val="21"/>
        </w:rPr>
      </w:pP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教学日常运行支出：</w:t>
      </w:r>
      <w:r>
        <w:rPr>
          <w:rFonts w:hint="eastAsia" w:ascii="仿宋" w:hAnsi="仿宋" w:eastAsia="仿宋"/>
          <w:color w:val="FF0000"/>
          <w:sz w:val="24"/>
          <w:szCs w:val="24"/>
        </w:rPr>
        <w:t>指学校开展普通本专科教学活动及其辅助活动发生的支出，仅指教学基本支出中的商品和服务支出（</w:t>
      </w:r>
      <w:r>
        <w:rPr>
          <w:rFonts w:ascii="仿宋" w:hAnsi="仿宋" w:eastAsia="仿宋"/>
          <w:color w:val="FF0000"/>
          <w:sz w:val="24"/>
          <w:szCs w:val="24"/>
        </w:rPr>
        <w:t>302类）（不含教学专项拨款支出</w:t>
      </w:r>
      <w:r>
        <w:rPr>
          <w:rFonts w:hint="eastAsia" w:ascii="仿宋" w:hAnsi="仿宋" w:eastAsia="仿宋"/>
          <w:color w:val="FF0000"/>
          <w:sz w:val="24"/>
          <w:szCs w:val="24"/>
        </w:rPr>
        <w:t>及教师工资和课酬</w:t>
      </w:r>
      <w:r>
        <w:rPr>
          <w:rFonts w:ascii="仿宋" w:hAnsi="仿宋" w:eastAsia="仿宋"/>
          <w:color w:val="FF0000"/>
          <w:sz w:val="24"/>
          <w:szCs w:val="24"/>
        </w:rPr>
        <w:t>），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r>
        <w:rPr>
          <w:rFonts w:hint="eastAsia" w:ascii="仿宋" w:hAnsi="仿宋" w:eastAsia="仿宋"/>
          <w:color w:val="FF0000"/>
          <w:sz w:val="24"/>
          <w:szCs w:val="24"/>
        </w:rPr>
        <w:t>。</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*以下各专项支出为</w:t>
      </w:r>
      <w:r>
        <w:rPr>
          <w:rFonts w:hint="eastAsia" w:ascii="宋体" w:hAnsi="宋体"/>
          <w:szCs w:val="21"/>
        </w:rPr>
        <w:t>学校教育事业支出（含基本支出和项目支出）</w:t>
      </w:r>
      <w:r>
        <w:rPr>
          <w:rFonts w:hint="eastAsia" w:ascii="宋体" w:hAnsi="宋体" w:cs="宋体"/>
          <w:kern w:val="0"/>
          <w:szCs w:val="21"/>
        </w:rPr>
        <w:t>中的商品服务支出（302</w:t>
      </w:r>
      <w:r>
        <w:rPr>
          <w:rFonts w:ascii="宋体" w:hAnsi="宋体" w:cs="宋体"/>
          <w:kern w:val="0"/>
          <w:szCs w:val="21"/>
        </w:rPr>
        <w:t>）</w:t>
      </w:r>
      <w:r>
        <w:rPr>
          <w:rFonts w:hint="eastAsia" w:ascii="宋体" w:hAnsi="宋体" w:cs="宋体"/>
          <w:kern w:val="0"/>
          <w:szCs w:val="21"/>
        </w:rPr>
        <w:t>及其他资本性支出（310-99</w:t>
      </w:r>
      <w:r>
        <w:rPr>
          <w:rFonts w:ascii="宋体" w:hAnsi="宋体" w:cs="宋体"/>
          <w:kern w:val="0"/>
          <w:szCs w:val="21"/>
        </w:rPr>
        <w:t>）</w:t>
      </w:r>
      <w:r>
        <w:rPr>
          <w:rFonts w:hint="eastAsia" w:ascii="宋体" w:hAnsi="宋体" w:cs="宋体"/>
          <w:kern w:val="0"/>
          <w:szCs w:val="21"/>
        </w:rPr>
        <w:t>中的</w:t>
      </w:r>
      <w:r>
        <w:rPr>
          <w:rFonts w:ascii="宋体" w:hAnsi="宋体" w:cs="宋体"/>
          <w:kern w:val="0"/>
          <w:szCs w:val="21"/>
        </w:rPr>
        <w:t>专项支出</w:t>
      </w:r>
      <w:r>
        <w:rPr>
          <w:rFonts w:hint="eastAsia" w:ascii="宋体" w:hAnsi="宋体" w:cs="宋体"/>
          <w:kern w:val="0"/>
          <w:szCs w:val="21"/>
        </w:rPr>
        <w:t>。</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教学改革支出：</w:t>
      </w:r>
      <w:r>
        <w:rPr>
          <w:rFonts w:ascii="Times New Roman" w:hAnsi="Times New Roman" w:cs="Times New Roman"/>
          <w:color w:val="000000"/>
          <w:szCs w:val="21"/>
        </w:rPr>
        <w:t>指学校立项用于</w:t>
      </w:r>
      <w:r>
        <w:rPr>
          <w:rFonts w:hint="eastAsia" w:ascii="Times New Roman" w:hAnsi="Times New Roman" w:cs="Times New Roman"/>
          <w:color w:val="000000"/>
          <w:szCs w:val="21"/>
        </w:rPr>
        <w:t>本科</w:t>
      </w:r>
      <w:r>
        <w:rPr>
          <w:rFonts w:ascii="Times New Roman" w:hAnsi="Times New Roman" w:cs="Times New Roman"/>
          <w:color w:val="000000"/>
          <w:szCs w:val="21"/>
        </w:rPr>
        <w:t>教学改革的专项经费总额。</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专业建设支出：</w:t>
      </w:r>
      <w:r>
        <w:rPr>
          <w:rFonts w:ascii="Times New Roman" w:hAnsi="Times New Roman" w:cs="Times New Roman"/>
          <w:color w:val="000000"/>
          <w:szCs w:val="21"/>
        </w:rPr>
        <w:t>指学校立项用于</w:t>
      </w:r>
      <w:r>
        <w:rPr>
          <w:rFonts w:hint="eastAsia" w:ascii="Times New Roman" w:hAnsi="Times New Roman" w:cs="Times New Roman"/>
          <w:color w:val="000000"/>
          <w:szCs w:val="21"/>
        </w:rPr>
        <w:t>本科</w:t>
      </w:r>
      <w:r>
        <w:rPr>
          <w:rFonts w:ascii="Times New Roman" w:hAnsi="Times New Roman" w:cs="Times New Roman"/>
          <w:color w:val="000000"/>
          <w:szCs w:val="21"/>
        </w:rPr>
        <w:t>专业建设的专项投入经费总额。</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实践教学支出：</w:t>
      </w:r>
      <w:r>
        <w:rPr>
          <w:rFonts w:ascii="Times New Roman" w:hAnsi="Times New Roman" w:cs="Times New Roman"/>
          <w:color w:val="000000"/>
          <w:szCs w:val="21"/>
        </w:rPr>
        <w:t>指学校、教务处及各学院（系、部）用于</w:t>
      </w:r>
      <w:r>
        <w:rPr>
          <w:rFonts w:hint="eastAsia" w:ascii="Times New Roman" w:hAnsi="Times New Roman" w:cs="Times New Roman"/>
          <w:color w:val="000000"/>
          <w:szCs w:val="21"/>
        </w:rPr>
        <w:t>本科</w:t>
      </w:r>
      <w:r>
        <w:rPr>
          <w:rFonts w:ascii="Times New Roman" w:hAnsi="Times New Roman" w:cs="Times New Roman"/>
          <w:color w:val="000000"/>
          <w:szCs w:val="21"/>
        </w:rPr>
        <w:t>实践教学活动及条件建设经费的总额，不含实验室列入固定资产的设备购置，含用于校外实践教学经费。</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其中：实验经费支出：</w:t>
      </w:r>
      <w:r>
        <w:rPr>
          <w:rFonts w:ascii="Times New Roman" w:hAnsi="Times New Roman" w:cs="Times New Roman"/>
          <w:color w:val="000000"/>
          <w:szCs w:val="21"/>
        </w:rPr>
        <w:t>指用于</w:t>
      </w:r>
      <w:r>
        <w:rPr>
          <w:rFonts w:hint="eastAsia" w:ascii="Times New Roman" w:hAnsi="Times New Roman" w:cs="Times New Roman"/>
          <w:color w:val="000000"/>
          <w:szCs w:val="21"/>
        </w:rPr>
        <w:t>本科</w:t>
      </w:r>
      <w:r>
        <w:rPr>
          <w:rFonts w:ascii="Times New Roman" w:hAnsi="Times New Roman" w:cs="Times New Roman"/>
          <w:color w:val="000000"/>
          <w:szCs w:val="21"/>
        </w:rPr>
        <w:t>实验教学运行、维护经费总值，包括：实验耗材、不列入固定资产登记的小型本科实验教学设备购置、教学设备维修费、本科实验教学资料费等支出。</w:t>
      </w:r>
    </w:p>
    <w:p>
      <w:pPr>
        <w:adjustRightInd w:val="0"/>
        <w:snapToGrid w:val="0"/>
        <w:spacing w:line="360" w:lineRule="auto"/>
        <w:ind w:firstLine="632" w:firstLineChars="300"/>
        <w:rPr>
          <w:rFonts w:ascii="Times New Roman" w:hAnsi="Times New Roman" w:cs="Times New Roman"/>
          <w:color w:val="000000"/>
          <w:szCs w:val="21"/>
        </w:rPr>
      </w:pPr>
      <w:r>
        <w:rPr>
          <w:rFonts w:ascii="Times New Roman" w:hAnsi="Times New Roman" w:cs="Times New Roman"/>
          <w:b/>
          <w:color w:val="000000"/>
          <w:szCs w:val="21"/>
        </w:rPr>
        <w:t>实习经费支出：</w:t>
      </w:r>
      <w:r>
        <w:rPr>
          <w:rFonts w:ascii="Times New Roman" w:hAnsi="Times New Roman" w:cs="Times New Roman"/>
          <w:color w:val="000000"/>
          <w:szCs w:val="21"/>
        </w:rPr>
        <w:t>指用于本科培养方案内的实习环节支出经费的总值。</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rPr>
        <w:t>思想政治理论课程专项建设经费支出：</w:t>
      </w:r>
      <w:r>
        <w:rPr>
          <w:rFonts w:hint="eastAsia" w:ascii="Times New Roman" w:hAnsi="Times New Roman" w:cs="Times New Roman"/>
          <w:color w:val="000000"/>
        </w:rPr>
        <w:t>指用于</w:t>
      </w:r>
      <w:r>
        <w:rPr>
          <w:rFonts w:hint="eastAsia" w:ascii="Times New Roman" w:hAnsi="Times New Roman" w:cs="Times New Roman"/>
          <w:b/>
          <w:color w:val="000000"/>
        </w:rPr>
        <w:t>全校</w:t>
      </w:r>
      <w:r>
        <w:rPr>
          <w:rFonts w:asciiTheme="minorEastAsia" w:hAnsiTheme="minorEastAsia"/>
          <w:szCs w:val="21"/>
        </w:rPr>
        <w:t>思想政治理论课建设</w:t>
      </w:r>
      <w:r>
        <w:rPr>
          <w:rFonts w:hint="eastAsia" w:asciiTheme="minorEastAsia" w:hAnsiTheme="minorEastAsia"/>
          <w:szCs w:val="21"/>
        </w:rPr>
        <w:t>的专项经费总值。</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学生活动经费支出：</w:t>
      </w:r>
      <w:r>
        <w:rPr>
          <w:rFonts w:ascii="Times New Roman" w:hAnsi="Times New Roman" w:cs="Times New Roman"/>
          <w:color w:val="000000"/>
          <w:szCs w:val="21"/>
        </w:rPr>
        <w:t>指学校、教务处、学工部（处）、团委及各学院（系、部）用于学生科技创新、文化体育、社会实践等活动的专项投入经费总额。</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教师培训进修专项经费支出：</w:t>
      </w:r>
      <w:r>
        <w:rPr>
          <w:rFonts w:ascii="Times New Roman" w:hAnsi="Times New Roman" w:cs="Times New Roman"/>
          <w:color w:val="000000"/>
          <w:szCs w:val="21"/>
        </w:rPr>
        <w:t>指专项用于教师教学发展的专项经费，包括教师发展中心的业务费用等。</w:t>
      </w:r>
    </w:p>
    <w:p>
      <w:pPr>
        <w:adjustRightInd w:val="0"/>
        <w:snapToGrid w:val="0"/>
        <w:spacing w:line="360" w:lineRule="auto"/>
        <w:rPr>
          <w:rFonts w:ascii="Times New Roman" w:hAnsi="Times New Roman"/>
          <w:color w:val="000000"/>
          <w:szCs w:val="21"/>
        </w:rPr>
      </w:pPr>
      <w:r>
        <w:rPr>
          <w:rFonts w:hint="eastAsia" w:ascii="Times New Roman" w:hAnsi="Times New Roman"/>
          <w:b/>
          <w:color w:val="000000"/>
          <w:szCs w:val="21"/>
        </w:rPr>
        <w:t>教育事业收入：</w:t>
      </w:r>
      <w:r>
        <w:rPr>
          <w:rFonts w:hint="eastAsia" w:ascii="Times New Roman" w:hAnsi="Times New Roman"/>
          <w:color w:val="000000"/>
          <w:szCs w:val="21"/>
        </w:rPr>
        <w:t>指学校开展教育活动所取得的各项收入，包括上缴中央财政专户并回拨的收入和不上缴中央财政专户的收入总和。</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经常性预算内事业费拨款</w:t>
      </w:r>
      <w:r>
        <w:rPr>
          <w:rFonts w:hint="eastAsia" w:ascii="Times New Roman" w:hAnsi="Times New Roman" w:cs="Times New Roman"/>
          <w:color w:val="000000"/>
          <w:szCs w:val="21"/>
        </w:rPr>
        <w:t>：指205 类教育拨款扣除中央财政专项拨款。</w:t>
      </w:r>
    </w:p>
    <w:p>
      <w:pPr>
        <w:adjustRightInd w:val="0"/>
        <w:snapToGrid w:val="0"/>
        <w:spacing w:line="360" w:lineRule="auto"/>
      </w:pPr>
      <w:r>
        <w:rPr>
          <w:rFonts w:ascii="Times New Roman" w:hAnsi="Times New Roman" w:cs="Times New Roman"/>
          <w:b/>
          <w:color w:val="000000"/>
          <w:szCs w:val="21"/>
        </w:rPr>
        <w:t>教改专项拨款：</w:t>
      </w:r>
      <w:r>
        <w:rPr>
          <w:rFonts w:ascii="Times New Roman" w:hAnsi="Times New Roman" w:cs="Times New Roman"/>
          <w:color w:val="000000"/>
          <w:szCs w:val="21"/>
        </w:rPr>
        <w:t>通过本科教学改革与研究项目立项程序，获得的专项拨款经费。</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生均拨款</w:t>
      </w:r>
      <w:r>
        <w:rPr>
          <w:rFonts w:ascii="Times New Roman" w:hAnsi="Times New Roman" w:cs="Times New Roman"/>
          <w:color w:val="000000"/>
          <w:szCs w:val="21"/>
        </w:rPr>
        <w:t>：指中央和地方财政通过一般预算安排用于支持高校发展的经费，按在校生人数折算的平均水平；包括基本支出和项目支出，不含中央财政安排的专项经费。</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其中：本科生生均拨款总额</w:t>
      </w:r>
      <w:r>
        <w:rPr>
          <w:rFonts w:ascii="Times New Roman" w:hAnsi="Times New Roman" w:cs="Times New Roman"/>
          <w:color w:val="000000"/>
          <w:szCs w:val="21"/>
        </w:rPr>
        <w:t>：指按本科生在校生人数折算的拨款总额。</w:t>
      </w:r>
    </w:p>
    <w:p>
      <w:pPr>
        <w:adjustRightInd w:val="0"/>
        <w:snapToGrid w:val="0"/>
        <w:spacing w:line="360" w:lineRule="auto"/>
        <w:ind w:firstLine="620" w:firstLineChars="294"/>
        <w:rPr>
          <w:rFonts w:ascii="Times New Roman" w:hAnsi="Times New Roman" w:cs="Times New Roman"/>
          <w:b/>
          <w:color w:val="000000"/>
          <w:szCs w:val="21"/>
        </w:rPr>
      </w:pPr>
      <w:r>
        <w:rPr>
          <w:rFonts w:ascii="Times New Roman" w:hAnsi="Times New Roman" w:cs="Times New Roman"/>
          <w:b/>
          <w:color w:val="000000"/>
          <w:szCs w:val="21"/>
        </w:rPr>
        <w:t>专科生生均拨款总额</w:t>
      </w:r>
      <w:r>
        <w:rPr>
          <w:rFonts w:ascii="Times New Roman" w:hAnsi="Times New Roman" w:cs="Times New Roman"/>
          <w:color w:val="000000"/>
          <w:szCs w:val="21"/>
        </w:rPr>
        <w:t>：指按专科生在校生人数折算的拨款总额。</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本科生学费收入：</w:t>
      </w:r>
      <w:r>
        <w:rPr>
          <w:rFonts w:ascii="Times New Roman" w:hAnsi="Times New Roman" w:cs="Times New Roman"/>
          <w:color w:val="000000"/>
          <w:szCs w:val="21"/>
        </w:rPr>
        <w:t>指普通本科学费收入，即按照核准收费标准实际收取的本科生学费总额。只统计学费，不含住宿费、教材费等其他收费。</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高职高专学费收入</w:t>
      </w:r>
      <w:r>
        <w:rPr>
          <w:rFonts w:ascii="Times New Roman" w:hAnsi="Times New Roman" w:cs="Times New Roman"/>
          <w:color w:val="000000"/>
          <w:szCs w:val="21"/>
        </w:rPr>
        <w:t>：指高职高专生的学费收入，即按照核准收费标准实际收取的高职高专生学费总额。</w:t>
      </w:r>
    </w:p>
    <w:p>
      <w:pPr>
        <w:adjustRightInd w:val="0"/>
        <w:snapToGrid w:val="0"/>
        <w:spacing w:line="360" w:lineRule="auto"/>
        <w:ind w:firstLine="420" w:firstLineChars="200"/>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10A20290"/>
    <w:rsid w:val="174057BF"/>
    <w:rsid w:val="176A0267"/>
    <w:rsid w:val="2E4F35EB"/>
    <w:rsid w:val="4A4C4415"/>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7429562A3B96419EB7AF6987B27BDE37</vt:lpwstr>
  </property>
</Properties>
</file>