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rPr>
      </w:pPr>
      <w:bookmarkStart w:id="6" w:name="_GoBack"/>
      <w:bookmarkStart w:id="0" w:name="_Toc436883464"/>
      <w:bookmarkStart w:id="1" w:name="_Toc436554341"/>
      <w:bookmarkStart w:id="2" w:name="_Toc365885764"/>
      <w:bookmarkStart w:id="3" w:name="_Toc390356283"/>
      <w:bookmarkStart w:id="4" w:name="_Toc80885710"/>
      <w:bookmarkStart w:id="5" w:name="_Toc453514569"/>
      <w:r>
        <w:rPr>
          <w:rFonts w:hint="eastAsia" w:ascii="Times New Roman" w:hAnsi="Times New Roman" w:eastAsia="宋体"/>
          <w:color w:val="000000"/>
          <w:highlight w:val="yellow"/>
        </w:rPr>
        <w:t>表</w:t>
      </w:r>
      <w:r>
        <w:rPr>
          <w:rFonts w:ascii="Times New Roman" w:hAnsi="Times New Roman" w:eastAsia="宋体"/>
          <w:color w:val="000000"/>
          <w:highlight w:val="yellow"/>
        </w:rPr>
        <w:t>6-5-1</w:t>
      </w:r>
      <w:r>
        <w:rPr>
          <w:rFonts w:hint="eastAsia" w:ascii="Times New Roman" w:hAnsi="Times New Roman" w:eastAsia="宋体"/>
          <w:color w:val="000000"/>
          <w:highlight w:val="yellow"/>
        </w:rPr>
        <w:t>应届本科毕业生</w:t>
      </w:r>
      <w:r>
        <w:rPr>
          <w:rFonts w:hint="eastAsia" w:ascii="Times New Roman" w:hAnsi="Times New Roman" w:eastAsia="宋体"/>
          <w:highlight w:val="yellow"/>
        </w:rPr>
        <w:t>去向落实</w:t>
      </w:r>
      <w:r>
        <w:rPr>
          <w:rFonts w:hint="eastAsia" w:ascii="Times New Roman" w:hAnsi="Times New Roman" w:eastAsia="宋体"/>
          <w:color w:val="000000"/>
          <w:highlight w:val="yellow"/>
        </w:rPr>
        <w:t>情况</w:t>
      </w:r>
      <w:bookmarkEnd w:id="0"/>
      <w:bookmarkEnd w:id="1"/>
      <w:bookmarkEnd w:id="2"/>
      <w:bookmarkEnd w:id="3"/>
      <w:r>
        <w:rPr>
          <w:rFonts w:hint="eastAsia" w:ascii="Times New Roman" w:hAnsi="Times New Roman" w:eastAsia="宋体"/>
          <w:color w:val="000000"/>
          <w:highlight w:val="yellow"/>
        </w:rPr>
        <w:t>（学年）</w:t>
      </w:r>
      <w:bookmarkEnd w:id="4"/>
      <w:bookmarkEnd w:id="5"/>
    </w:p>
    <w:bookmarkEnd w:id="6"/>
    <w:tbl>
      <w:tblPr>
        <w:tblStyle w:val="3"/>
        <w:tblW w:w="13113"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781"/>
        <w:gridCol w:w="1418"/>
        <w:gridCol w:w="1409"/>
        <w:gridCol w:w="2855"/>
        <w:gridCol w:w="2815"/>
        <w:gridCol w:w="2835"/>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7463" w:type="dxa"/>
            <w:gridSpan w:val="4"/>
            <w:tcBorders>
              <w:top w:val="single" w:color="auto" w:sz="12"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项目</w:t>
            </w:r>
          </w:p>
        </w:tc>
        <w:tc>
          <w:tcPr>
            <w:tcW w:w="5650" w:type="dxa"/>
            <w:gridSpan w:val="2"/>
            <w:tcBorders>
              <w:top w:val="single" w:color="auto" w:sz="12"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人数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restart"/>
            <w:tcBorders>
              <w:top w:val="single" w:color="auto" w:sz="4" w:space="0"/>
              <w:left w:val="single" w:color="auto" w:sz="4" w:space="0"/>
              <w:right w:val="single" w:color="auto" w:sz="4" w:space="0"/>
            </w:tcBorders>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w:t>
            </w:r>
            <w:r>
              <w:rPr>
                <w:rFonts w:hint="eastAsia" w:ascii="Times New Roman" w:hAnsi="Times New Roman" w:cs="Times New Roman"/>
                <w:b/>
                <w:bCs/>
                <w:color w:val="000000"/>
              </w:rPr>
              <w:t>应届毕业生升学或深造基本情况（人）</w:t>
            </w: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总数</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自动计算</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continue"/>
            <w:tcBorders>
              <w:left w:val="single" w:color="auto" w:sz="4" w:space="0"/>
              <w:right w:val="single" w:color="auto" w:sz="4" w:space="0"/>
            </w:tcBorders>
          </w:tcPr>
          <w:p>
            <w:pPr>
              <w:widowControl/>
              <w:jc w:val="left"/>
              <w:rPr>
                <w:rFonts w:ascii="Times New Roman" w:hAnsi="Times New Roman" w:cs="Times New Roman"/>
                <w:b/>
                <w:bCs/>
                <w:color w:val="000000"/>
              </w:rPr>
            </w:pPr>
          </w:p>
        </w:tc>
        <w:tc>
          <w:tcPr>
            <w:tcW w:w="285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cs="Times New Roman"/>
                <w:color w:val="000000"/>
              </w:rPr>
            </w:pPr>
            <w:r>
              <w:rPr>
                <w:rFonts w:hint="eastAsia" w:ascii="Times New Roman" w:hAnsi="Times New Roman" w:cs="Times New Roman"/>
                <w:color w:val="000000"/>
              </w:rPr>
              <w:t>其中：升学考取本校</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continue"/>
            <w:tcBorders>
              <w:left w:val="single" w:color="auto" w:sz="4" w:space="0"/>
              <w:right w:val="single" w:color="auto" w:sz="4" w:space="0"/>
            </w:tcBorders>
          </w:tcPr>
          <w:p>
            <w:pPr>
              <w:widowControl/>
              <w:jc w:val="left"/>
              <w:rPr>
                <w:rFonts w:ascii="Times New Roman" w:hAnsi="Times New Roman" w:cs="Times New Roman"/>
                <w:b/>
                <w:bCs/>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其中：升学考取外校</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continue"/>
            <w:tcBorders>
              <w:left w:val="single" w:color="auto" w:sz="4" w:space="0"/>
              <w:right w:val="single" w:color="auto" w:sz="4" w:space="0"/>
            </w:tcBorders>
          </w:tcPr>
          <w:p>
            <w:pPr>
              <w:widowControl/>
              <w:jc w:val="left"/>
              <w:rPr>
                <w:rFonts w:ascii="Times New Roman" w:hAnsi="Times New Roman" w:cs="Times New Roman"/>
                <w:b/>
                <w:bCs/>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其中：</w:t>
            </w:r>
            <w:r>
              <w:rPr>
                <w:rFonts w:hint="eastAsia" w:ascii="Times New Roman" w:hAnsi="Times New Roman" w:cs="Times New Roman"/>
                <w:bCs/>
                <w:color w:val="000000"/>
              </w:rPr>
              <w:t>免试推荐研究生</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continue"/>
            <w:tcBorders>
              <w:left w:val="single" w:color="auto" w:sz="4" w:space="0"/>
              <w:right w:val="single" w:color="auto" w:sz="4" w:space="0"/>
            </w:tcBorders>
          </w:tcPr>
          <w:p>
            <w:pPr>
              <w:widowControl/>
              <w:jc w:val="left"/>
              <w:rPr>
                <w:rFonts w:ascii="Times New Roman" w:hAnsi="Times New Roman" w:cs="Times New Roman"/>
                <w:b/>
                <w:bCs/>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b/>
                <w:bCs/>
                <w:color w:val="000000"/>
                <w:sz w:val="32"/>
              </w:rPr>
            </w:pPr>
            <w:r>
              <w:rPr>
                <w:rFonts w:hint="eastAsia" w:ascii="Times New Roman" w:hAnsi="Times New Roman" w:cs="Times New Roman"/>
                <w:color w:val="000000"/>
              </w:rPr>
              <w:t>其中：出国（境）深造</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4608" w:type="dxa"/>
            <w:gridSpan w:val="3"/>
            <w:vMerge w:val="continue"/>
            <w:tcBorders>
              <w:left w:val="single" w:color="auto" w:sz="4" w:space="0"/>
              <w:bottom w:val="single" w:color="auto" w:sz="4" w:space="0"/>
              <w:right w:val="single" w:color="auto" w:sz="4" w:space="0"/>
            </w:tcBorders>
          </w:tcPr>
          <w:p>
            <w:pPr>
              <w:widowControl/>
              <w:jc w:val="left"/>
              <w:rPr>
                <w:rFonts w:ascii="Times New Roman" w:hAnsi="Times New Roman" w:cs="Times New Roman"/>
                <w:b/>
                <w:bCs/>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FF0000"/>
              </w:rPr>
            </w:pPr>
            <w:r>
              <w:rPr>
                <w:rFonts w:hint="eastAsia" w:ascii="Times New Roman" w:hAnsi="Times New Roman" w:cs="Times New Roman"/>
                <w:color w:val="FF0000"/>
                <w:highlight w:val="yellow"/>
              </w:rPr>
              <w:t>其中：第二学士学位</w:t>
            </w:r>
          </w:p>
        </w:tc>
        <w:tc>
          <w:tcPr>
            <w:tcW w:w="5650" w:type="dxa"/>
            <w:gridSpan w:val="2"/>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FF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restart"/>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cs="Times New Roman"/>
                <w:b/>
                <w:bCs/>
                <w:color w:val="000000"/>
              </w:rPr>
            </w:pPr>
            <w:r>
              <w:rPr>
                <w:rFonts w:hint="eastAsia" w:ascii="Times New Roman" w:hAnsi="Times New Roman" w:cs="Times New Roman"/>
                <w:b/>
                <w:bCs/>
                <w:color w:val="000000"/>
              </w:rPr>
              <w:t>2</w:t>
            </w:r>
            <w:r>
              <w:rPr>
                <w:rFonts w:ascii="Times New Roman" w:hAnsi="Times New Roman" w:cs="Times New Roman"/>
                <w:b/>
                <w:bCs/>
                <w:color w:val="000000"/>
              </w:rPr>
              <w:t xml:space="preserve">. </w:t>
            </w:r>
            <w:r>
              <w:rPr>
                <w:rFonts w:hint="eastAsia" w:ascii="Times New Roman" w:hAnsi="Times New Roman" w:cs="Times New Roman"/>
                <w:b/>
                <w:bCs/>
                <w:color w:val="FF0000"/>
                <w:highlight w:val="yellow"/>
              </w:rPr>
              <w:t>应届毕业生去向落实情况</w:t>
            </w:r>
            <w:r>
              <w:rPr>
                <w:rFonts w:hint="eastAsia" w:ascii="Times New Roman" w:hAnsi="Times New Roman" w:cs="Times New Roman"/>
                <w:b/>
                <w:bCs/>
                <w:color w:val="000000"/>
              </w:rPr>
              <w:t>（人）</w:t>
            </w:r>
          </w:p>
        </w:tc>
        <w:tc>
          <w:tcPr>
            <w:tcW w:w="5682" w:type="dxa"/>
            <w:gridSpan w:val="3"/>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b/>
                <w:color w:val="000000"/>
              </w:rPr>
            </w:pPr>
            <w:r>
              <w:rPr>
                <w:rFonts w:hint="eastAsia" w:ascii="Times New Roman" w:hAnsi="Times New Roman" w:cs="Times New Roman"/>
                <w:b/>
                <w:color w:val="000000"/>
              </w:rPr>
              <w:t>学校所在区域总数（省）</w:t>
            </w: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b/>
                <w:color w:val="000000"/>
              </w:rPr>
            </w:pPr>
            <w:r>
              <w:rPr>
                <w:rFonts w:hint="eastAsia" w:ascii="Times New Roman" w:hAnsi="Times New Roman" w:cs="Times New Roman"/>
                <w:b/>
                <w:color w:val="000000"/>
              </w:rPr>
              <w:t>学校非所在地区域总数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cs="Times New Roman"/>
                <w:b/>
                <w:color w:val="000000"/>
              </w:rPr>
            </w:pPr>
            <w:r>
              <w:rPr>
                <w:rFonts w:hint="eastAsia" w:ascii="Times New Roman" w:hAnsi="Times New Roman" w:cs="Times New Roman"/>
                <w:b/>
                <w:color w:val="000000"/>
              </w:rPr>
              <w:t>就业</w:t>
            </w:r>
          </w:p>
        </w:tc>
        <w:tc>
          <w:tcPr>
            <w:tcW w:w="1409"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s="Times New Roman"/>
                <w:b/>
                <w:color w:val="000000"/>
              </w:rPr>
            </w:pPr>
            <w:r>
              <w:rPr>
                <w:rFonts w:hint="eastAsia" w:ascii="Times New Roman" w:hAnsi="Times New Roman" w:cs="Times New Roman"/>
                <w:b/>
                <w:color w:val="000000"/>
              </w:rPr>
              <w:t>签署就业协议（含就业合同）</w:t>
            </w: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b/>
                <w:color w:val="000000"/>
              </w:rPr>
            </w:pPr>
            <w:r>
              <w:rPr>
                <w:rFonts w:hint="eastAsia" w:ascii="Times New Roman" w:hAnsi="Times New Roman" w:cs="Times New Roman"/>
                <w:b/>
                <w:color w:val="000000"/>
              </w:rPr>
              <w:t>总数</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自动计算</w:t>
            </w: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自动计算</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政府机关</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事业单位</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企业</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部队</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参加国家地方项目就业</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widowControl/>
              <w:jc w:val="left"/>
              <w:rPr>
                <w:rFonts w:ascii="Times New Roman" w:hAnsi="Times New Roman" w:cs="Times New Roman"/>
                <w:color w:val="000000"/>
              </w:rPr>
            </w:pPr>
          </w:p>
        </w:tc>
        <w:tc>
          <w:tcPr>
            <w:tcW w:w="14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85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r>
              <w:rPr>
                <w:rFonts w:hint="eastAsia" w:ascii="Times New Roman" w:hAnsi="Times New Roman" w:cs="Times New Roman"/>
                <w:color w:val="000000"/>
              </w:rPr>
              <w:t>其他</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right w:val="single" w:color="auto" w:sz="4" w:space="0"/>
            </w:tcBorders>
          </w:tcPr>
          <w:p>
            <w:pPr>
              <w:adjustRightInd w:val="0"/>
              <w:snapToGrid w:val="0"/>
              <w:jc w:val="center"/>
              <w:rPr>
                <w:rFonts w:ascii="Times New Roman" w:hAnsi="Times New Roman" w:cs="Times New Roman"/>
                <w:color w:val="000000"/>
              </w:rPr>
            </w:pPr>
          </w:p>
        </w:tc>
        <w:tc>
          <w:tcPr>
            <w:tcW w:w="4264"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灵活就业</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vMerge w:val="continue"/>
            <w:tcBorders>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p>
        </w:tc>
        <w:tc>
          <w:tcPr>
            <w:tcW w:w="4264" w:type="dxa"/>
            <w:gridSpan w:val="2"/>
            <w:tcBorders>
              <w:top w:val="single" w:color="auto" w:sz="4" w:space="0"/>
              <w:left w:val="single" w:color="auto" w:sz="4" w:space="0"/>
              <w:bottom w:val="single" w:color="auto" w:sz="4"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自主创业</w:t>
            </w:r>
          </w:p>
        </w:tc>
        <w:tc>
          <w:tcPr>
            <w:tcW w:w="281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4" w:space="0"/>
              <w:right w:val="single" w:color="auto" w:sz="4" w:space="0"/>
            </w:tcBorders>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jc w:val="center"/>
        </w:trPr>
        <w:tc>
          <w:tcPr>
            <w:tcW w:w="1781"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Times New Roman" w:hAnsi="Times New Roman" w:cs="Times New Roman"/>
                <w:b/>
                <w:bCs/>
                <w:color w:val="000000"/>
              </w:rPr>
            </w:pPr>
          </w:p>
        </w:tc>
        <w:tc>
          <w:tcPr>
            <w:tcW w:w="1418" w:type="dxa"/>
            <w:tcBorders>
              <w:top w:val="single" w:color="auto" w:sz="4" w:space="0"/>
              <w:left w:val="single" w:color="auto" w:sz="4" w:space="0"/>
              <w:bottom w:val="single" w:color="auto" w:sz="12"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b/>
                <w:color w:val="000000"/>
              </w:rPr>
              <w:t>升学</w:t>
            </w:r>
          </w:p>
        </w:tc>
        <w:tc>
          <w:tcPr>
            <w:tcW w:w="4264" w:type="dxa"/>
            <w:gridSpan w:val="2"/>
            <w:tcBorders>
              <w:top w:val="single" w:color="auto" w:sz="4" w:space="0"/>
              <w:left w:val="single" w:color="auto" w:sz="4" w:space="0"/>
              <w:bottom w:val="single" w:color="auto" w:sz="12" w:space="0"/>
              <w:right w:val="single" w:color="auto" w:sz="4" w:space="0"/>
            </w:tcBorders>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升学（含出国（境）深造、第二学士学位）</w:t>
            </w:r>
          </w:p>
        </w:tc>
        <w:tc>
          <w:tcPr>
            <w:tcW w:w="2815" w:type="dxa"/>
            <w:tcBorders>
              <w:top w:val="single" w:color="auto" w:sz="4" w:space="0"/>
              <w:left w:val="single" w:color="auto" w:sz="4" w:space="0"/>
              <w:bottom w:val="single" w:color="auto" w:sz="12" w:space="0"/>
              <w:right w:val="single" w:color="auto" w:sz="4" w:space="0"/>
            </w:tcBorders>
          </w:tcPr>
          <w:p>
            <w:pPr>
              <w:adjustRightInd w:val="0"/>
              <w:snapToGrid w:val="0"/>
              <w:rPr>
                <w:rFonts w:ascii="Times New Roman" w:hAnsi="Times New Roman" w:cs="Times New Roman"/>
                <w:color w:val="000000"/>
              </w:rPr>
            </w:pPr>
          </w:p>
        </w:tc>
        <w:tc>
          <w:tcPr>
            <w:tcW w:w="2835" w:type="dxa"/>
            <w:tcBorders>
              <w:top w:val="single" w:color="auto" w:sz="4" w:space="0"/>
              <w:left w:val="single" w:color="auto" w:sz="4" w:space="0"/>
              <w:bottom w:val="single" w:color="auto" w:sz="12" w:space="0"/>
              <w:right w:val="single" w:color="auto" w:sz="4" w:space="0"/>
            </w:tcBorders>
          </w:tcPr>
          <w:p>
            <w:pPr>
              <w:adjustRightInd w:val="0"/>
              <w:snapToGrid w:val="0"/>
              <w:rPr>
                <w:rFonts w:ascii="Times New Roman" w:hAnsi="Times New Roman" w:cs="Times New Roman"/>
                <w:color w:val="000000"/>
              </w:rPr>
            </w:pPr>
          </w:p>
        </w:tc>
      </w:tr>
    </w:tbl>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*统计</w:t>
      </w:r>
      <w:r>
        <w:rPr>
          <w:rFonts w:hint="eastAsia" w:ascii="Times New Roman" w:hAnsi="Times New Roman" w:cs="Times New Roman"/>
          <w:b/>
          <w:color w:val="000000"/>
          <w:szCs w:val="21"/>
        </w:rPr>
        <w:t>应届本科毕业生</w:t>
      </w:r>
      <w:r>
        <w:rPr>
          <w:rFonts w:ascii="Times New Roman" w:hAnsi="Times New Roman" w:cs="Times New Roman"/>
          <w:color w:val="000000"/>
          <w:szCs w:val="21"/>
        </w:rPr>
        <w:t>截止到8月31日前的初次就业情况。</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1.应届毕业生升学</w:t>
      </w:r>
      <w:r>
        <w:rPr>
          <w:rFonts w:hint="eastAsia" w:ascii="Times New Roman" w:hAnsi="Times New Roman" w:cs="Times New Roman"/>
          <w:b/>
          <w:color w:val="000000"/>
          <w:szCs w:val="21"/>
        </w:rPr>
        <w:t>或深造</w:t>
      </w:r>
      <w:r>
        <w:rPr>
          <w:rFonts w:ascii="Times New Roman" w:hAnsi="Times New Roman" w:cs="Times New Roman"/>
          <w:b/>
          <w:color w:val="000000"/>
          <w:szCs w:val="21"/>
        </w:rPr>
        <w:t>基本情况：</w:t>
      </w:r>
      <w:r>
        <w:rPr>
          <w:rFonts w:ascii="Times New Roman" w:hAnsi="Times New Roman" w:cs="Times New Roman"/>
          <w:color w:val="000000"/>
          <w:szCs w:val="21"/>
        </w:rPr>
        <w:t>指上学年度结束时，应届毕业生（指上学年具有学籍的应届学生学完教学计划规定的全部课程，考试及格，取得毕业证书，当年实际毕业的学生）升学</w:t>
      </w:r>
      <w:r>
        <w:rPr>
          <w:rFonts w:hint="eastAsia" w:ascii="Times New Roman" w:hAnsi="Times New Roman" w:cs="Times New Roman"/>
          <w:color w:val="000000"/>
          <w:szCs w:val="21"/>
        </w:rPr>
        <w:t>、深造或修读第二学士学位</w:t>
      </w:r>
      <w:r>
        <w:rPr>
          <w:rFonts w:ascii="Times New Roman" w:hAnsi="Times New Roman" w:cs="Times New Roman"/>
          <w:color w:val="000000"/>
          <w:szCs w:val="21"/>
        </w:rPr>
        <w:t>情况。</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升学考</w:t>
      </w:r>
      <w:r>
        <w:rPr>
          <w:rFonts w:ascii="Times New Roman" w:hAnsi="Times New Roman" w:cs="Times New Roman"/>
          <w:b/>
          <w:color w:val="000000"/>
          <w:szCs w:val="21"/>
        </w:rPr>
        <w:t>取：</w:t>
      </w:r>
      <w:r>
        <w:rPr>
          <w:rFonts w:ascii="Times New Roman" w:hAnsi="Times New Roman" w:cs="Times New Roman"/>
          <w:color w:val="000000"/>
          <w:szCs w:val="21"/>
        </w:rPr>
        <w:t>指应届本科毕业生中考取研究生的人数。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免试推荐研究生：</w:t>
      </w:r>
      <w:r>
        <w:rPr>
          <w:rFonts w:ascii="Times New Roman" w:hAnsi="Times New Roman" w:cs="Times New Roman"/>
          <w:color w:val="000000"/>
          <w:szCs w:val="21"/>
        </w:rPr>
        <w:t>指应届本科毕业生中免试推荐或保送研究生的人数。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出国（境）</w:t>
      </w:r>
      <w:r>
        <w:rPr>
          <w:rFonts w:hint="eastAsia" w:ascii="Times New Roman" w:hAnsi="Times New Roman" w:cs="Times New Roman"/>
          <w:b/>
          <w:color w:val="000000"/>
          <w:szCs w:val="21"/>
        </w:rPr>
        <w:t>深造</w:t>
      </w:r>
      <w:r>
        <w:rPr>
          <w:rFonts w:ascii="Times New Roman" w:hAnsi="Times New Roman" w:cs="Times New Roman"/>
          <w:b/>
          <w:color w:val="000000"/>
          <w:szCs w:val="21"/>
        </w:rPr>
        <w:t>：</w:t>
      </w:r>
      <w:r>
        <w:rPr>
          <w:rFonts w:ascii="Times New Roman" w:hAnsi="Times New Roman" w:cs="Times New Roman"/>
          <w:color w:val="000000"/>
          <w:szCs w:val="21"/>
        </w:rPr>
        <w:t>指应届本科毕业生中到国外或境外（港澳台）学习的人数。</w:t>
      </w:r>
    </w:p>
    <w:p>
      <w:pPr>
        <w:adjustRightInd w:val="0"/>
        <w:snapToGrid w:val="0"/>
        <w:spacing w:line="360" w:lineRule="auto"/>
        <w:rPr>
          <w:rFonts w:ascii="Times New Roman" w:hAnsi="Times New Roman" w:cs="Times New Roman"/>
          <w:color w:val="FF0000"/>
          <w:szCs w:val="21"/>
        </w:rPr>
      </w:pPr>
      <w:r>
        <w:rPr>
          <w:rFonts w:hint="eastAsia" w:ascii="Times New Roman" w:hAnsi="Times New Roman" w:cs="Times New Roman"/>
          <w:color w:val="FF0000"/>
          <w:szCs w:val="21"/>
        </w:rPr>
        <w:t>第二学士学位：指应届本科生中修读第二学士学位的人数。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2</w:t>
      </w:r>
      <w:r>
        <w:rPr>
          <w:rFonts w:ascii="Times New Roman" w:hAnsi="Times New Roman" w:cs="Times New Roman"/>
          <w:b/>
          <w:color w:val="000000"/>
          <w:szCs w:val="21"/>
        </w:rPr>
        <w:t>.应届毕业生就业基本情况：</w:t>
      </w:r>
      <w:r>
        <w:rPr>
          <w:rFonts w:ascii="Times New Roman" w:hAnsi="Times New Roman" w:cs="Times New Roman"/>
          <w:color w:val="000000"/>
          <w:szCs w:val="21"/>
        </w:rPr>
        <w:t>指除以下情况外，还包括已经领取就业报到证、定向委培回原单位、师范类院校回来源地、自主创业等毕业学生的总人数。填报时间截止到8月31日之前的初次就业人数。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政府机构：</w:t>
      </w:r>
      <w:r>
        <w:rPr>
          <w:rFonts w:ascii="Times New Roman" w:hAnsi="Times New Roman" w:cs="Times New Roman"/>
          <w:color w:val="000000"/>
          <w:szCs w:val="21"/>
        </w:rPr>
        <w:t>指在中央和地方行政、司法等机关就业的毕业学生人数。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事业单位：</w:t>
      </w:r>
      <w:r>
        <w:rPr>
          <w:rFonts w:ascii="Times New Roman" w:hAnsi="Times New Roman" w:cs="Times New Roman"/>
          <w:color w:val="000000"/>
          <w:szCs w:val="21"/>
        </w:rPr>
        <w:t>指在事业单位就业的毕业学生人数。事业单位，指政府行政主管部门或者政府职能部门所辖的公益性单位和非公益性职能部门等。</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企业：</w:t>
      </w:r>
      <w:r>
        <w:rPr>
          <w:rFonts w:ascii="Times New Roman" w:hAnsi="Times New Roman" w:cs="Times New Roman"/>
          <w:color w:val="000000"/>
          <w:szCs w:val="21"/>
        </w:rPr>
        <w:t>指在国家所有的企业单位或中外合资经营企业、中外合作经营企业、外资企业三类外商投资企业，以及民营企业就业的毕业学生人数。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部队：</w:t>
      </w:r>
      <w:r>
        <w:rPr>
          <w:rFonts w:ascii="Times New Roman" w:hAnsi="Times New Roman" w:cs="Times New Roman"/>
          <w:color w:val="000000"/>
          <w:szCs w:val="21"/>
        </w:rPr>
        <w:t>指应征入伍的毕业学生人数及到部队就业的学生人数。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参加国家地方项目就业：</w:t>
      </w:r>
      <w:r>
        <w:rPr>
          <w:rFonts w:ascii="Times New Roman" w:hAnsi="Times New Roman" w:cs="Times New Roman"/>
          <w:color w:val="000000"/>
          <w:szCs w:val="21"/>
        </w:rPr>
        <w:t>指参加国家或地方</w:t>
      </w:r>
      <w:r>
        <w:rPr>
          <w:rFonts w:hint="eastAsia" w:ascii="Times New Roman" w:hAnsi="Times New Roman" w:cs="Times New Roman"/>
          <w:color w:val="000000"/>
          <w:szCs w:val="21"/>
        </w:rPr>
        <w:t>支边、支农、支教、支医、支援西部、扶贫、选调生、选聘生（大学生村官）</w:t>
      </w:r>
      <w:r>
        <w:rPr>
          <w:rFonts w:ascii="Times New Roman" w:hAnsi="Times New Roman" w:cs="Times New Roman"/>
          <w:color w:val="000000"/>
          <w:szCs w:val="21"/>
        </w:rPr>
        <w:t>等项目的毕业生人数。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其</w:t>
      </w:r>
      <w:r>
        <w:rPr>
          <w:rFonts w:ascii="Times New Roman" w:hAnsi="Times New Roman" w:cs="Times New Roman"/>
          <w:b/>
          <w:color w:val="000000"/>
          <w:szCs w:val="21"/>
        </w:rPr>
        <w:t>他：</w:t>
      </w:r>
      <w:r>
        <w:rPr>
          <w:rFonts w:hint="eastAsia" w:ascii="Times New Roman" w:hAnsi="Times New Roman" w:cs="Times New Roman"/>
          <w:color w:val="000000"/>
          <w:szCs w:val="21"/>
        </w:rPr>
        <w:t>指签署就业协议，但单位不属于以上各类的毕业生人数。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灵活就业：</w:t>
      </w:r>
      <w:r>
        <w:rPr>
          <w:rFonts w:ascii="Times New Roman" w:hAnsi="Times New Roman" w:cs="Times New Roman"/>
          <w:color w:val="000000"/>
          <w:szCs w:val="21"/>
        </w:rPr>
        <w:t>指以非全日制、临时性、季节性、弹性工作等灵活多样形式实现就业。</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自主创业：</w:t>
      </w:r>
      <w:r>
        <w:rPr>
          <w:rFonts w:ascii="Times New Roman" w:hAnsi="Times New Roman" w:cs="Times New Roman"/>
          <w:color w:val="000000"/>
          <w:szCs w:val="21"/>
        </w:rPr>
        <w:t>指自己创造就业岗位、自营职业及不隶属于任何组织或单位、从事独立工作的毕业学生人数。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升学：</w:t>
      </w:r>
      <w:r>
        <w:rPr>
          <w:rFonts w:ascii="Times New Roman" w:hAnsi="Times New Roman" w:cs="Times New Roman"/>
          <w:color w:val="000000"/>
          <w:szCs w:val="21"/>
        </w:rPr>
        <w:t>指继续攻读高一级学位的毕业学生人数</w:t>
      </w:r>
      <w:r>
        <w:rPr>
          <w:rFonts w:hint="eastAsia" w:ascii="宋体" w:hAnsi="宋体" w:cs="宋体"/>
          <w:color w:val="1D41D5"/>
          <w:sz w:val="28"/>
          <w:szCs w:val="28"/>
        </w:rPr>
        <w:t>，</w:t>
      </w:r>
      <w:r>
        <w:rPr>
          <w:rFonts w:hint="eastAsia" w:ascii="Times New Roman" w:hAnsi="Times New Roman" w:cs="Times New Roman"/>
          <w:color w:val="000000"/>
          <w:szCs w:val="21"/>
        </w:rPr>
        <w:t>含出国（境）深造学生</w:t>
      </w:r>
      <w:r>
        <w:rPr>
          <w:rFonts w:ascii="Times New Roman" w:hAnsi="Times New Roman" w:cs="Times New Roman"/>
          <w:color w:val="000000"/>
          <w:szCs w:val="21"/>
        </w:rP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注：以上类别不重复统计。</w:t>
      </w:r>
      <w:r>
        <w:rPr>
          <w:rFonts w:ascii="Times New Roman" w:hAnsi="Times New Roman" w:cs="Times New Roman"/>
          <w:b/>
          <w:color w:val="000000"/>
          <w:szCs w:val="21"/>
        </w:rPr>
        <w:t>声明不就业的毕业生</w:t>
      </w:r>
      <w:r>
        <w:rPr>
          <w:rFonts w:ascii="Times New Roman" w:hAnsi="Times New Roman" w:cs="Times New Roman"/>
          <w:color w:val="000000"/>
          <w:szCs w:val="21"/>
        </w:rPr>
        <w:t>属于未就业，不计入就业总数中。</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hint="eastAsia" w:ascii="Times New Roman" w:hAnsi="Times New Roman" w:cs="Times New Roman"/>
          <w:b/>
          <w:color w:val="000000"/>
          <w:szCs w:val="21"/>
        </w:rPr>
        <w:t>校验关系</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表内校验：</w:t>
      </w:r>
    </w:p>
    <w:p>
      <w:pPr>
        <w:adjustRightInd w:val="0"/>
        <w:snapToGrid w:val="0"/>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1.“应届毕业生升学或深造”人数=“升学考取本校”人数+“</w:t>
      </w:r>
      <w:r>
        <w:rPr>
          <w:rFonts w:hint="eastAsia" w:ascii="Times New Roman" w:hAnsi="Times New Roman" w:cs="Times New Roman"/>
          <w:color w:val="000000"/>
        </w:rPr>
        <w:t>升学考取外校</w:t>
      </w:r>
      <w:r>
        <w:rPr>
          <w:rFonts w:hint="eastAsia" w:ascii="Times New Roman" w:hAnsi="Times New Roman" w:cs="Times New Roman"/>
          <w:color w:val="000000"/>
          <w:szCs w:val="21"/>
        </w:rPr>
        <w:t>”人数+“免试推荐研究生”人数+“</w:t>
      </w:r>
      <w:r>
        <w:rPr>
          <w:rFonts w:hint="eastAsia" w:ascii="Times New Roman" w:hAnsi="Times New Roman" w:cs="Times New Roman"/>
          <w:color w:val="000000"/>
        </w:rPr>
        <w:t>出国（境）深造”人数</w:t>
      </w:r>
      <w:r>
        <w:rPr>
          <w:rFonts w:hint="eastAsia" w:ascii="Times New Roman" w:hAnsi="Times New Roman" w:cs="Times New Roman"/>
          <w:color w:val="FF0000"/>
          <w:szCs w:val="21"/>
        </w:rPr>
        <w:t>+“第二学士学位”人数</w:t>
      </w:r>
      <w:r>
        <w:rPr>
          <w:rFonts w:hint="eastAsia" w:ascii="Times New Roman" w:hAnsi="Times New Roman" w:cs="Times New Roman"/>
          <w:color w:val="000000"/>
          <w:szCs w:val="21"/>
        </w:rPr>
        <w:t>；</w:t>
      </w:r>
    </w:p>
    <w:p>
      <w:pPr>
        <w:adjustRightInd w:val="0"/>
        <w:snapToGrid w:val="0"/>
        <w:ind w:firstLine="420" w:firstLineChars="200"/>
        <w:rPr>
          <w:rFonts w:ascii="Times New Roman" w:hAnsi="Times New Roman" w:cs="Times New Roman"/>
          <w:color w:val="FF0000"/>
          <w:szCs w:val="21"/>
        </w:rPr>
      </w:pPr>
      <w:r>
        <w:rPr>
          <w:rFonts w:ascii="Times New Roman" w:hAnsi="Times New Roman" w:cs="Times New Roman"/>
          <w:color w:val="FF0000"/>
          <w:szCs w:val="21"/>
        </w:rPr>
        <w:t>2.</w:t>
      </w:r>
      <w:r>
        <w:rPr>
          <w:rFonts w:hint="eastAsia" w:ascii="Times New Roman" w:hAnsi="Times New Roman" w:cs="Times New Roman"/>
          <w:color w:val="FF0000"/>
          <w:szCs w:val="21"/>
        </w:rPr>
        <w:t>“应届毕业生去向落实情况”中“应届毕业生升学</w:t>
      </w:r>
      <w:r>
        <w:rPr>
          <w:rFonts w:hint="eastAsia" w:ascii="Times New Roman" w:hAnsi="Times New Roman" w:cs="Times New Roman"/>
          <w:color w:val="FF0000"/>
        </w:rPr>
        <w:t>（含出国（境）深造、第二学士学位）”人数</w:t>
      </w:r>
      <w:r>
        <w:rPr>
          <w:rFonts w:ascii="Times New Roman" w:hAnsi="Times New Roman" w:cs="Times New Roman"/>
          <w:color w:val="FF0000"/>
          <w:szCs w:val="21"/>
        </w:rPr>
        <w:t xml:space="preserve">= </w:t>
      </w:r>
      <w:r>
        <w:rPr>
          <w:rFonts w:hint="eastAsia" w:ascii="Times New Roman" w:hAnsi="Times New Roman" w:cs="Times New Roman"/>
          <w:color w:val="FF0000"/>
          <w:szCs w:val="21"/>
        </w:rPr>
        <w:t>“应届毕业生升学或深造”人数；</w:t>
      </w:r>
    </w:p>
    <w:p>
      <w:pPr>
        <w:adjustRightInd w:val="0"/>
        <w:snapToGrid w:val="0"/>
        <w:ind w:firstLine="420" w:firstLineChars="200"/>
        <w:rPr>
          <w:rFonts w:ascii="Times New Roman" w:hAnsi="Times New Roman" w:cs="Times New Roman"/>
          <w:color w:val="FF0000"/>
          <w:szCs w:val="21"/>
        </w:rPr>
      </w:pPr>
      <w:r>
        <w:rPr>
          <w:rFonts w:hint="eastAsia" w:ascii="Times New Roman" w:hAnsi="Times New Roman" w:cs="Times New Roman"/>
          <w:color w:val="FF0000"/>
          <w:szCs w:val="21"/>
        </w:rPr>
        <w:t>3.</w:t>
      </w:r>
      <w:r>
        <w:rPr>
          <w:rFonts w:hint="eastAsia"/>
          <w:color w:val="FF0000"/>
        </w:rPr>
        <w:t xml:space="preserve"> </w:t>
      </w:r>
      <w:r>
        <w:rPr>
          <w:rFonts w:hint="eastAsia" w:ascii="宋体" w:hAnsi="宋体" w:cs="宋体"/>
          <w:color w:val="FF0000"/>
          <w:kern w:val="0"/>
          <w:sz w:val="22"/>
          <w:lang w:bidi="ar"/>
        </w:rPr>
        <w:t>“去向落实总人数”≤表1-6中“学生类别”为“当年毕结业”的学生数</w:t>
      </w:r>
      <w:r>
        <w:rPr>
          <w:rFonts w:hint="eastAsia" w:ascii="Times New Roman" w:hAnsi="Times New Roman" w:cs="Times New Roman"/>
          <w:color w:val="FF0000"/>
          <w:szCs w:val="21"/>
        </w:rPr>
        <w:t>。</w:t>
      </w: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078B083A"/>
    <w:rsid w:val="07A60520"/>
    <w:rsid w:val="10A20290"/>
    <w:rsid w:val="174057BF"/>
    <w:rsid w:val="176A0267"/>
    <w:rsid w:val="23BC6FCF"/>
    <w:rsid w:val="2E4F35EB"/>
    <w:rsid w:val="2EB73152"/>
    <w:rsid w:val="36A45CFC"/>
    <w:rsid w:val="499876C1"/>
    <w:rsid w:val="4A4C4415"/>
    <w:rsid w:val="649D6FE7"/>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1961E7D065824C42B19EBC7CB75A2398</vt:lpwstr>
  </property>
</Properties>
</file>